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BE3B72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  <w:r w:rsidRPr="007C7CD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</w:t>
      </w:r>
    </w:p>
    <w:p w:rsidR="00294CC7" w:rsidRPr="007C7CD3" w:rsidRDefault="00294CC7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E45AC2" w:rsidRPr="007C7CD3" w:rsidRDefault="008176B7" w:rsidP="00E45AC2">
      <w:pPr>
        <w:pStyle w:val="Heading1"/>
        <w:spacing w:before="255"/>
        <w:jc w:val="center"/>
        <w:rPr>
          <w:rFonts w:ascii="Sylfaen" w:hAnsi="Sylfaen" w:cs="Sylfaen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 xml:space="preserve">ტენდერი </w:t>
      </w:r>
      <w:r w:rsidR="00E45AC2" w:rsidRPr="007C7CD3">
        <w:rPr>
          <w:rFonts w:ascii="Sylfaen" w:hAnsi="Sylfaen" w:cs="Sylfaen"/>
          <w:sz w:val="20"/>
          <w:szCs w:val="20"/>
          <w:lang w:val="ka-GE"/>
        </w:rPr>
        <w:t>ავტომობილების ნაწილებისა და ავტო-ტექ მომსახურეობის შესყიდვაზე</w:t>
      </w:r>
    </w:p>
    <w:p w:rsidR="00AF4172" w:rsidRPr="007C7CD3" w:rsidRDefault="00AF4172" w:rsidP="00D3706C">
      <w:pPr>
        <w:pStyle w:val="TableParagraph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152EA" w:rsidRPr="007C7CD3" w:rsidRDefault="007152EA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კომპანიის შესახებ</w:t>
      </w:r>
    </w:p>
    <w:p w:rsidR="008176B7" w:rsidRPr="007C7CD3" w:rsidRDefault="008176B7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შპს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„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ლოგისტიკა</w:t>
      </w:r>
      <w:r w:rsid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>“ 2006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წლიდან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მოღვაწეობს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ბაზარზე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აწარმოებს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სასმელი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პროდუქტების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მარკეტინგულ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მხარდაჭერას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br/>
      </w:r>
    </w:p>
    <w:p w:rsidR="002D0626" w:rsidRPr="0068738B" w:rsidRDefault="003200BC" w:rsidP="002D0626">
      <w:pPr>
        <w:pStyle w:val="TableParagraph"/>
        <w:jc w:val="both"/>
        <w:rPr>
          <w:rFonts w:cstheme="minorHAnsi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ამჟამად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პორტფელში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დაახლოებით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30-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მდე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რომლის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ექსკლუზიურ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განვითარებას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მაშტაბით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14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წელზე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მეტია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ახორციელებს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შორისაა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: </w:t>
      </w:r>
      <w:proofErr w:type="spellStart"/>
      <w:r w:rsidR="002D0626" w:rsidRPr="0068738B">
        <w:rPr>
          <w:rFonts w:cstheme="minorHAnsi"/>
          <w:shd w:val="clear" w:color="auto" w:fill="FFFFFF"/>
        </w:rPr>
        <w:t>თელიანი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ველი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სნო, კობი, აისი, </w:t>
      </w:r>
      <w:r w:rsidR="002D0626" w:rsidRPr="0068738B">
        <w:rPr>
          <w:rFonts w:cstheme="minorHAnsi"/>
          <w:shd w:val="clear" w:color="auto" w:fill="FFFFFF"/>
        </w:rPr>
        <w:t xml:space="preserve">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ყაზბეგი, </w:t>
      </w:r>
      <w:r w:rsidR="002D0626" w:rsidRPr="0068738B">
        <w:rPr>
          <w:rFonts w:cstheme="minorHAnsi"/>
          <w:shd w:val="clear" w:color="auto" w:fill="FFFFFF"/>
        </w:rPr>
        <w:t>Heineken</w:t>
      </w:r>
      <w:r w:rsidR="002D0626" w:rsidRPr="0068738B">
        <w:rPr>
          <w:rFonts w:cstheme="minorHAnsi"/>
          <w:shd w:val="clear" w:color="auto" w:fill="FFFFFF"/>
          <w:lang w:val="ka-GE"/>
        </w:rPr>
        <w:t>,</w:t>
      </w:r>
      <w:r w:rsidR="002D0626" w:rsidRPr="0068738B">
        <w:rPr>
          <w:rFonts w:cstheme="minorHAnsi"/>
          <w:shd w:val="clear" w:color="auto" w:fill="FFFFFF"/>
        </w:rPr>
        <w:t xml:space="preserve">  Lavazza, </w:t>
      </w:r>
      <w:proofErr w:type="spellStart"/>
      <w:r w:rsidR="002D0626" w:rsidRPr="0068738B">
        <w:rPr>
          <w:rFonts w:cstheme="minorHAnsi"/>
          <w:shd w:val="clear" w:color="auto" w:fill="FFFFFF"/>
        </w:rPr>
        <w:t>Medoff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proofErr w:type="spellStart"/>
      <w:r w:rsidR="002D0626" w:rsidRPr="0068738B">
        <w:rPr>
          <w:rFonts w:cstheme="minorHAnsi"/>
          <w:shd w:val="clear" w:color="auto" w:fill="FFFFFF"/>
        </w:rPr>
        <w:t>და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სხვა</w:t>
      </w:r>
      <w:proofErr w:type="spellEnd"/>
      <w:r w:rsidR="002D0626" w:rsidRPr="0068738B">
        <w:rPr>
          <w:rFonts w:cstheme="minorHAnsi"/>
          <w:shd w:val="clear" w:color="auto" w:fill="FFFFFF"/>
        </w:rPr>
        <w:t>.</w:t>
      </w: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8176B7" w:rsidRPr="007C7CD3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  <w:lang w:val="ka-GE"/>
        </w:rPr>
      </w:pPr>
    </w:p>
    <w:p w:rsidR="002642F5" w:rsidRPr="007C7CD3" w:rsidRDefault="002642F5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შესყიდვის  პირობები</w:t>
      </w:r>
    </w:p>
    <w:p w:rsidR="002642F5" w:rsidRPr="007C7CD3" w:rsidRDefault="002642F5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E45AC2" w:rsidRPr="007C7CD3" w:rsidRDefault="002642F5" w:rsidP="001B73E3">
      <w:pPr>
        <w:pStyle w:val="TableParagraph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შესყიდვის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ობიექტია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="00E45AC2"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ავტომობილების ნაწილებისა და ავტო-ტექ მომსახურების შესყიდვა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თანდართული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ტექნიკური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მახასიათებლების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გათვალისწინებით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.</w:t>
      </w:r>
    </w:p>
    <w:p w:rsidR="008176B7" w:rsidRPr="007C7CD3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</w:rPr>
      </w:pPr>
    </w:p>
    <w:p w:rsidR="008176B7" w:rsidRPr="007C7CD3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</w:rPr>
      </w:pPr>
    </w:p>
    <w:p w:rsidR="008176B7" w:rsidRPr="007C7CD3" w:rsidRDefault="008176B7" w:rsidP="002642F5">
      <w:pPr>
        <w:pStyle w:val="TableParagraph"/>
        <w:rPr>
          <w:rFonts w:ascii="Sylfaen" w:hAnsi="Sylfaen"/>
          <w:color w:val="1F3864" w:themeColor="accent5" w:themeShade="80"/>
          <w:sz w:val="20"/>
          <w:szCs w:val="20"/>
        </w:rPr>
      </w:pPr>
    </w:p>
    <w:p w:rsidR="008176B7" w:rsidRPr="007C7CD3" w:rsidRDefault="008176B7" w:rsidP="002642F5">
      <w:pPr>
        <w:pStyle w:val="TableParagraph"/>
        <w:rPr>
          <w:rFonts w:ascii="Sylfaen" w:hAnsi="Sylfaen"/>
          <w:color w:val="1F3864" w:themeColor="accent5" w:themeShade="80"/>
          <w:sz w:val="20"/>
          <w:szCs w:val="20"/>
        </w:rPr>
      </w:pPr>
    </w:p>
    <w:p w:rsidR="008176B7" w:rsidRPr="007C7CD3" w:rsidRDefault="008176B7" w:rsidP="002642F5">
      <w:pPr>
        <w:pStyle w:val="TableParagraph"/>
        <w:rPr>
          <w:rFonts w:ascii="Sylfaen" w:hAnsi="Sylfaen"/>
          <w:b/>
          <w:sz w:val="20"/>
          <w:szCs w:val="20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lang w:val="ka-GE"/>
        </w:rPr>
        <w:t>შესასყიდი</w:t>
      </w:r>
      <w:r w:rsidRPr="007C7CD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F4DA8" w:rsidRPr="007C7CD3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7C7CD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C7CD3"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1F4DA8" w:rsidRPr="007C7CD3" w:rsidRDefault="001F4DA8" w:rsidP="001F4DA8">
      <w:pPr>
        <w:pStyle w:val="TableParagrap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ტენდერი ტარდება 5 ლოტად:</w:t>
      </w:r>
    </w:p>
    <w:p w:rsidR="001F4DA8" w:rsidRPr="007C7CD3" w:rsidRDefault="001F4DA8" w:rsidP="001F4DA8">
      <w:pPr>
        <w:pStyle w:val="TableParagraph"/>
        <w:numPr>
          <w:ilvl w:val="0"/>
          <w:numId w:val="19"/>
        </w:numPr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ლოტი #1:  უცხოური სატვირთო (მერსედეს ბენცი) – </w:t>
      </w:r>
      <w:r w:rsidR="002D0626">
        <w:rPr>
          <w:rFonts w:ascii="Sylfaen" w:hAnsi="Sylfaen"/>
          <w:sz w:val="20"/>
          <w:szCs w:val="20"/>
          <w:shd w:val="clear" w:color="auto" w:fill="FFFFFF"/>
          <w:lang w:val="ka-GE"/>
        </w:rPr>
        <w:t>33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ერთეული;</w:t>
      </w:r>
    </w:p>
    <w:p w:rsidR="001F4DA8" w:rsidRPr="007C7CD3" w:rsidRDefault="001F4DA8" w:rsidP="001F4DA8">
      <w:pPr>
        <w:pStyle w:val="TableParagraph"/>
        <w:numPr>
          <w:ilvl w:val="0"/>
          <w:numId w:val="19"/>
        </w:numPr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ლოტი #</w:t>
      </w:r>
      <w:r w:rsidR="002D0626">
        <w:rPr>
          <w:rFonts w:ascii="Sylfaen" w:hAnsi="Sylfaen"/>
          <w:sz w:val="20"/>
          <w:szCs w:val="20"/>
          <w:shd w:val="clear" w:color="auto" w:fill="FFFFFF"/>
          <w:lang w:val="ka-GE"/>
        </w:rPr>
        <w:t>2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: უცხოური სატვირთო (ჰუნდაი) – 5 ერთეული;</w:t>
      </w:r>
    </w:p>
    <w:p w:rsidR="001F4DA8" w:rsidRPr="007C7CD3" w:rsidRDefault="001F4DA8" w:rsidP="001F4DA8">
      <w:pPr>
        <w:pStyle w:val="TableParagraph"/>
        <w:numPr>
          <w:ilvl w:val="0"/>
          <w:numId w:val="19"/>
        </w:numPr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ლოტი</w:t>
      </w:r>
      <w:r w:rsidR="002D0626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#3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: უცხოური სატვირთო (ჯაკი) – 48 ერთეული;</w:t>
      </w:r>
    </w:p>
    <w:p w:rsidR="001F4DA8" w:rsidRDefault="001F4DA8" w:rsidP="001F4DA8">
      <w:pPr>
        <w:pStyle w:val="TableParagraph"/>
        <w:numPr>
          <w:ilvl w:val="0"/>
          <w:numId w:val="19"/>
        </w:numPr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ლოტი</w:t>
      </w:r>
      <w:r w:rsidR="002D0626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#4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: უცხოური სატვირთო (ფოტონი) – 6 ერთეული;</w:t>
      </w:r>
    </w:p>
    <w:p w:rsidR="002D0626" w:rsidRPr="007C7CD3" w:rsidRDefault="002D0626" w:rsidP="002D0626">
      <w:pPr>
        <w:pStyle w:val="TableParagraph"/>
        <w:numPr>
          <w:ilvl w:val="0"/>
          <w:numId w:val="19"/>
        </w:numPr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ლოტი #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>5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: უცხოური სატვირთო (მიცუბიში) – 1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>1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ერთეული;</w:t>
      </w:r>
    </w:p>
    <w:p w:rsidR="002D0626" w:rsidRPr="007C7CD3" w:rsidRDefault="002D0626" w:rsidP="002D0626">
      <w:pPr>
        <w:pStyle w:val="TableParagraph"/>
        <w:ind w:left="720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7C7CD3" w:rsidRDefault="001F4DA8" w:rsidP="001F4DA8">
      <w:pPr>
        <w:pStyle w:val="TableParagraph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7C7CD3" w:rsidRDefault="001F4DA8" w:rsidP="001F4DA8">
      <w:pPr>
        <w:spacing w:line="360" w:lineRule="auto"/>
        <w:jc w:val="both"/>
        <w:rPr>
          <w:rStyle w:val="Strong"/>
          <w:rFonts w:ascii="Sylfaen" w:hAnsi="Sylfaen"/>
          <w:b w:val="0"/>
          <w:sz w:val="20"/>
          <w:szCs w:val="20"/>
          <w:shd w:val="clear" w:color="auto" w:fill="FFFFFF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დაინტერესებულმა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პირებმა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კონვერტში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წარადგინონ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:</w:t>
      </w:r>
    </w:p>
    <w:p w:rsidR="001F4DA8" w:rsidRPr="007C7CD3" w:rsidRDefault="001F4DA8" w:rsidP="001F4DA8">
      <w:pPr>
        <w:spacing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:rsidR="001F4DA8" w:rsidRPr="007C7CD3" w:rsidRDefault="001F4DA8" w:rsidP="001F4DA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  <w:bookmarkStart w:id="0" w:name="_GoBack"/>
      <w:bookmarkEnd w:id="0"/>
    </w:p>
    <w:p w:rsidR="00CF72BF" w:rsidRPr="00CF72BF" w:rsidRDefault="001F4DA8" w:rsidP="00294B7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კომერციული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CF72BF" w:rsidRPr="00CF72BF">
        <w:rPr>
          <w:rFonts w:ascii="Sylfaen" w:hAnsi="Sylfaen" w:cs="Sylfaen"/>
          <w:sz w:val="20"/>
          <w:szCs w:val="20"/>
          <w:lang w:val="ka-GE"/>
        </w:rPr>
        <w:t>წინადადება, რომელიც წარმოდგენილი უნდა იყოს როგორც ელექტრ</w:t>
      </w:r>
      <w:r w:rsidR="00CF72BF" w:rsidRPr="00CF72BF">
        <w:rPr>
          <w:rFonts w:ascii="Sylfaen" w:hAnsi="Sylfaen"/>
          <w:sz w:val="20"/>
          <w:szCs w:val="20"/>
          <w:lang w:val="ka-GE"/>
        </w:rPr>
        <w:t xml:space="preserve">ონული სახით ასევე ამობეჭდილი ვერსია. პირობა უნდა იყოს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სრულყოფილად</w:t>
      </w:r>
      <w:r w:rsidR="00E46992"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="00E46992"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ხარჯთაღრიცხვის</w:t>
      </w:r>
      <w:r w:rsidR="00E46992"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ფაილები</w:t>
      </w:r>
      <w:r w:rsidR="00CF72BF" w:rsidRPr="00CF72BF">
        <w:rPr>
          <w:rFonts w:ascii="Sylfaen" w:hAnsi="Sylfaen" w:cs="Sylfaen"/>
          <w:sz w:val="20"/>
          <w:szCs w:val="20"/>
          <w:lang w:val="ka-GE"/>
        </w:rPr>
        <w:t>ს</w:t>
      </w:r>
      <w:r w:rsidR="00E46992"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ცვლილებების</w:t>
      </w:r>
      <w:r w:rsidR="00E46992"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CF72BF" w:rsidRPr="00CF72BF">
        <w:rPr>
          <w:rFonts w:ascii="Sylfaen" w:hAnsi="Sylfaen" w:cs="Sylfaen"/>
          <w:sz w:val="20"/>
          <w:szCs w:val="20"/>
          <w:lang w:val="ka-GE"/>
        </w:rPr>
        <w:t xml:space="preserve">გარეშე </w:t>
      </w:r>
      <w:r w:rsidR="00CF72BF">
        <w:rPr>
          <w:rFonts w:ascii="Sylfaen" w:hAnsi="Sylfaen" w:cs="Sylfaen"/>
          <w:sz w:val="20"/>
          <w:szCs w:val="20"/>
          <w:lang w:val="ka-GE"/>
        </w:rPr>
        <w:t>;</w:t>
      </w:r>
    </w:p>
    <w:p w:rsidR="001F4DA8" w:rsidRDefault="001F4DA8" w:rsidP="00294B7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72BF">
        <w:rPr>
          <w:rFonts w:ascii="Sylfaen" w:hAnsi="Sylfaen"/>
          <w:sz w:val="20"/>
          <w:szCs w:val="20"/>
          <w:lang w:val="ka-GE"/>
        </w:rPr>
        <w:t xml:space="preserve"> მოცემული უნდა იყოს ლარში და </w:t>
      </w:r>
      <w:r w:rsidRPr="00CF72B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ამ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ტენდერით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ყველა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72BF">
        <w:rPr>
          <w:rFonts w:ascii="Sylfaen" w:hAnsi="Sylfaen"/>
          <w:sz w:val="20"/>
          <w:szCs w:val="20"/>
          <w:lang w:val="ka-GE"/>
        </w:rPr>
        <w:t xml:space="preserve"> (</w:t>
      </w:r>
      <w:r w:rsidRPr="00CF72BF">
        <w:rPr>
          <w:rFonts w:ascii="Sylfaen" w:hAnsi="Sylfaen" w:cs="Sylfaen"/>
          <w:sz w:val="20"/>
          <w:szCs w:val="20"/>
          <w:lang w:val="ka-GE"/>
        </w:rPr>
        <w:t>მათ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შორის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დღგ</w:t>
      </w:r>
      <w:r w:rsidRPr="00CF72BF">
        <w:rPr>
          <w:rFonts w:ascii="Sylfaen" w:hAnsi="Sylfaen"/>
          <w:sz w:val="20"/>
          <w:szCs w:val="20"/>
          <w:lang w:val="ka-GE"/>
        </w:rPr>
        <w:t>).</w:t>
      </w:r>
    </w:p>
    <w:p w:rsidR="00CF72BF" w:rsidRPr="00CF72BF" w:rsidRDefault="00CF72BF" w:rsidP="00294B7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გადახდის პირობა;</w:t>
      </w:r>
    </w:p>
    <w:p w:rsidR="001F4DA8" w:rsidRPr="00CF72BF" w:rsidRDefault="001F4DA8" w:rsidP="001F4DA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ბოლო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3 </w:t>
      </w:r>
      <w:r w:rsidRPr="007C7CD3">
        <w:rPr>
          <w:rFonts w:ascii="Sylfaen" w:hAnsi="Sylfaen" w:cs="Sylfaen"/>
          <w:sz w:val="20"/>
          <w:szCs w:val="20"/>
          <w:lang w:val="ka-GE"/>
        </w:rPr>
        <w:t>წლის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lang w:val="ka-GE"/>
        </w:rPr>
        <w:t>ანალოგიური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7C7CD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:rsidR="00CF72BF" w:rsidRPr="007C7CD3" w:rsidRDefault="00CF72BF" w:rsidP="00CF72BF">
      <w:pPr>
        <w:pStyle w:val="ListParagraph"/>
        <w:spacing w:line="360" w:lineRule="auto"/>
        <w:ind w:left="810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E46992" w:rsidRPr="007C7CD3" w:rsidRDefault="00E46992" w:rsidP="00E46992">
      <w:pPr>
        <w:pStyle w:val="ListParagraph"/>
        <w:spacing w:line="360" w:lineRule="auto"/>
        <w:ind w:left="810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1F4DA8" w:rsidRPr="007C7CD3" w:rsidRDefault="001F4DA8" w:rsidP="001F4DA8">
      <w:pPr>
        <w:pStyle w:val="ListParagraph"/>
        <w:spacing w:line="360" w:lineRule="auto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F4DA8" w:rsidRPr="007C7CD3" w:rsidRDefault="001F4DA8" w:rsidP="001F4DA8">
      <w:pPr>
        <w:pStyle w:val="ListParagraph"/>
        <w:spacing w:line="360" w:lineRule="auto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F4DA8" w:rsidRPr="007C7CD3" w:rsidRDefault="001F4DA8" w:rsidP="001F4DA8">
      <w:pPr>
        <w:pStyle w:val="ListParagraph"/>
        <w:spacing w:line="360" w:lineRule="auto"/>
        <w:ind w:left="810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1F4DA8" w:rsidRPr="007C7CD3" w:rsidRDefault="001F4DA8" w:rsidP="001F4DA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:rsidR="001F4DA8" w:rsidRPr="007C7CD3" w:rsidRDefault="001F4DA8" w:rsidP="001F4DA8">
      <w:pPr>
        <w:pStyle w:val="ListParagraph"/>
        <w:spacing w:line="360" w:lineRule="auto"/>
        <w:ind w:left="810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1F4DA8" w:rsidRPr="007C7CD3" w:rsidRDefault="001F4DA8" w:rsidP="001F4DA8">
      <w:pPr>
        <w:pStyle w:val="ListParagraph"/>
        <w:spacing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:rsidR="001F4DA8" w:rsidRPr="007C7CD3" w:rsidRDefault="001F4DA8" w:rsidP="001F4DA8">
      <w:pPr>
        <w:spacing w:line="360" w:lineRule="auto"/>
        <w:rPr>
          <w:rFonts w:ascii="Sylfaen" w:hAnsi="Sylfaen" w:cstheme="minorHAnsi"/>
          <w:i/>
          <w:color w:val="FF0000"/>
          <w:sz w:val="20"/>
          <w:szCs w:val="20"/>
          <w:lang w:val="ka-GE"/>
        </w:rPr>
      </w:pPr>
      <w:r w:rsidRPr="007C7CD3">
        <w:rPr>
          <w:rFonts w:ascii="Sylfaen" w:hAnsi="Sylfaen" w:cstheme="minorHAnsi"/>
          <w:i/>
          <w:sz w:val="20"/>
          <w:szCs w:val="20"/>
          <w:u w:val="single"/>
          <w:lang w:val="ka-GE"/>
        </w:rPr>
        <w:t>შენიშვნა:</w:t>
      </w:r>
      <w:r w:rsidRPr="007C7CD3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i/>
          <w:color w:val="FF0000"/>
          <w:sz w:val="20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</w:p>
    <w:p w:rsidR="001F4DA8" w:rsidRPr="007C7CD3" w:rsidRDefault="001F4DA8" w:rsidP="001F4DA8">
      <w:pPr>
        <w:pStyle w:val="TableParagraph"/>
        <w:rPr>
          <w:rFonts w:ascii="Sylfaen" w:eastAsia="Segoe UI" w:hAnsi="Sylfaen"/>
          <w:w w:val="80"/>
          <w:sz w:val="20"/>
          <w:szCs w:val="20"/>
        </w:rPr>
      </w:pPr>
    </w:p>
    <w:p w:rsidR="008176B7" w:rsidRPr="007C7CD3" w:rsidRDefault="008176B7" w:rsidP="002642F5">
      <w:pPr>
        <w:pStyle w:val="TableParagraph"/>
        <w:rPr>
          <w:rFonts w:ascii="Sylfaen" w:hAnsi="Sylfaen"/>
          <w:color w:val="1F3864" w:themeColor="accent5" w:themeShade="80"/>
          <w:sz w:val="20"/>
          <w:szCs w:val="20"/>
        </w:rPr>
      </w:pPr>
    </w:p>
    <w:p w:rsidR="00E46992" w:rsidRPr="007C7CD3" w:rsidRDefault="00E46992" w:rsidP="00E46992">
      <w:pPr>
        <w:spacing w:line="360" w:lineRule="auto"/>
        <w:jc w:val="both"/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გთხოვთ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კონვერტზე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მიუთითოთ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:</w:t>
      </w:r>
    </w:p>
    <w:p w:rsidR="00E46992" w:rsidRPr="007C7CD3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საკონტაქტო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ინფორმაცია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პასუხისმგებელი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პირი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ტელეფონი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მობილური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ელ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.</w:t>
      </w:r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ფოსტა</w:t>
      </w:r>
      <w:proofErr w:type="spellEnd"/>
      <w:proofErr w:type="gram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ტენდერის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მიმღები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განყოფილების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r w:rsidRPr="007C7CD3">
        <w:rPr>
          <w:rFonts w:ascii="Sylfaen" w:hAnsi="Sylfaen" w:cs="Sylfaen"/>
          <w:color w:val="333333"/>
          <w:sz w:val="20"/>
          <w:szCs w:val="20"/>
          <w:lang w:val="ka-GE" w:eastAsia="en-GB"/>
        </w:rPr>
        <w:t>ლოგისტიკის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წარწერა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: "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კონფიდენციალურია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";</w:t>
      </w:r>
    </w:p>
    <w:p w:rsidR="00E46992" w:rsidRPr="00CF72BF" w:rsidRDefault="00E46992" w:rsidP="00E4699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გთხოვთ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მოაწერეთ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ხელი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დასვით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ბეჭედი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კონვერტის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დალუქვის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ადგილზე</w:t>
      </w:r>
      <w:proofErr w:type="spellEnd"/>
    </w:p>
    <w:p w:rsidR="00E46992" w:rsidRPr="007C7CD3" w:rsidRDefault="00E46992" w:rsidP="00E46992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20"/>
          <w:szCs w:val="20"/>
        </w:rPr>
      </w:pPr>
    </w:p>
    <w:p w:rsidR="00E46992" w:rsidRPr="007C7CD3" w:rsidRDefault="00E46992" w:rsidP="00E4699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20"/>
          <w:szCs w:val="20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სატენდერო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წინადადება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მოგვაწოდოთ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შემდეგ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მისამართზე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</w:p>
    <w:p w:rsidR="00E46992" w:rsidRDefault="00E46992" w:rsidP="00E46992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20"/>
          <w:szCs w:val="20"/>
          <w:lang w:val="en-US"/>
        </w:rPr>
      </w:pP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ქ. თბილისი. ისააკიანის ჩიხი #2. 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იწყება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: </w:t>
      </w:r>
      <w:r w:rsidR="002D0626">
        <w:rPr>
          <w:rStyle w:val="Strong"/>
          <w:rFonts w:ascii="Sylfaen" w:hAnsi="Sylfaen" w:cs="Sylfaen"/>
          <w:sz w:val="20"/>
          <w:szCs w:val="20"/>
          <w:lang w:val="ka-GE"/>
        </w:rPr>
        <w:t>13</w:t>
      </w:r>
      <w:r w:rsidRPr="007C7CD3">
        <w:rPr>
          <w:rStyle w:val="Strong"/>
          <w:rFonts w:ascii="Sylfaen" w:hAnsi="Sylfaen" w:cs="Sylfaen"/>
          <w:sz w:val="20"/>
          <w:szCs w:val="20"/>
        </w:rPr>
        <w:t>.0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4</w:t>
      </w:r>
      <w:r w:rsidRPr="007C7CD3">
        <w:rPr>
          <w:rStyle w:val="Strong"/>
          <w:rFonts w:ascii="Sylfaen" w:hAnsi="Sylfaen" w:cs="Sylfaen"/>
          <w:sz w:val="20"/>
          <w:szCs w:val="20"/>
        </w:rPr>
        <w:t>.202</w:t>
      </w:r>
      <w:r w:rsidR="002D0626">
        <w:rPr>
          <w:rStyle w:val="Strong"/>
          <w:rFonts w:ascii="Sylfaen" w:hAnsi="Sylfaen" w:cs="Sylfaen"/>
          <w:sz w:val="20"/>
          <w:szCs w:val="20"/>
          <w:lang w:val="ka-GE"/>
        </w:rPr>
        <w:t>2</w:t>
      </w:r>
      <w:r w:rsidRPr="007C7CD3">
        <w:rPr>
          <w:rStyle w:val="Strong"/>
          <w:rFonts w:ascii="Sylfaen" w:hAnsi="Sylfaen" w:cs="Sylfaen"/>
          <w:sz w:val="20"/>
          <w:szCs w:val="20"/>
        </w:rPr>
        <w:t> 11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:00</w:t>
      </w:r>
      <w:r w:rsidRPr="007C7CD3">
        <w:rPr>
          <w:rStyle w:val="Strong"/>
          <w:rFonts w:ascii="Sylfaen" w:hAnsi="Sylfaen" w:cs="Sylfaen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მთავრდება</w:t>
      </w:r>
      <w:proofErr w:type="spellEnd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: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2</w:t>
      </w:r>
      <w:r w:rsidR="002D0626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8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>.0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4</w:t>
      </w:r>
      <w:r w:rsidR="00197DDA">
        <w:rPr>
          <w:rStyle w:val="Strong"/>
          <w:rFonts w:ascii="Sylfaen" w:hAnsi="Sylfaen" w:cs="Helvetica"/>
          <w:color w:val="333333"/>
          <w:sz w:val="20"/>
          <w:szCs w:val="20"/>
        </w:rPr>
        <w:t>.2022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18:00</w:t>
      </w:r>
      <w:r w:rsidRPr="007C7CD3">
        <w:rPr>
          <w:rFonts w:ascii="Sylfaen" w:hAnsi="Sylfaen" w:cs="Helvetica"/>
          <w:b/>
          <w:color w:val="333333"/>
          <w:sz w:val="20"/>
          <w:szCs w:val="20"/>
        </w:rPr>
        <w:br/>
      </w:r>
    </w:p>
    <w:p w:rsidR="002D0626" w:rsidRPr="002D0626" w:rsidRDefault="002D0626" w:rsidP="00E46992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20"/>
          <w:szCs w:val="20"/>
          <w:lang w:val="en-US"/>
        </w:rPr>
      </w:pPr>
    </w:p>
    <w:p w:rsidR="00E46992" w:rsidRPr="007C7CD3" w:rsidRDefault="00E46992" w:rsidP="00E4699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ტენდერის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საკითხებთან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დაკავშირებით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გთხოვთ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წერილობით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მიმართოთ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br/>
      </w:r>
    </w:p>
    <w:p w:rsidR="007C7CD3" w:rsidRPr="007C7CD3" w:rsidRDefault="007C7CD3" w:rsidP="007C7CD3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theme="minorHAnsi"/>
          <w:sz w:val="20"/>
          <w:szCs w:val="20"/>
          <w:lang w:val="en-US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გიორგი ნიკვაშვილი</w:t>
      </w:r>
      <w:r w:rsidRPr="007C7CD3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ლოგისტიკის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br/>
      </w: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ტელ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.: (+99577) 999476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.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ფოსტა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: </w:t>
      </w:r>
      <w:proofErr w:type="spellStart"/>
      <w:r w:rsidRPr="007C7CD3">
        <w:rPr>
          <w:rStyle w:val="Hyperlink"/>
          <w:rFonts w:ascii="Sylfaen" w:hAnsi="Sylfaen" w:cstheme="minorHAnsi"/>
          <w:sz w:val="20"/>
          <w:szCs w:val="20"/>
          <w:lang w:val="en-US"/>
        </w:rPr>
        <w:t>g.nikvashvili</w:t>
      </w:r>
      <w:proofErr w:type="spellEnd"/>
      <w:r w:rsidRPr="007C7CD3">
        <w:rPr>
          <w:rStyle w:val="Hyperlink"/>
          <w:rFonts w:ascii="Sylfaen" w:hAnsi="Sylfaen" w:cstheme="minorHAnsi"/>
          <w:sz w:val="20"/>
          <w:szCs w:val="20"/>
        </w:rPr>
        <w:t>@gdl.ge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:rsidR="002642F5" w:rsidRPr="007C7CD3" w:rsidRDefault="002642F5" w:rsidP="007152EA">
      <w:pPr>
        <w:pStyle w:val="TableParagraph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p w:rsidR="00AF4172" w:rsidRPr="007C7CD3" w:rsidRDefault="00AF4172" w:rsidP="007152EA">
      <w:pPr>
        <w:pStyle w:val="TableParagraph"/>
        <w:rPr>
          <w:rFonts w:ascii="Sylfaen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7152EA">
      <w:pPr>
        <w:pStyle w:val="TableParagraph"/>
        <w:rPr>
          <w:rFonts w:ascii="Sylfaen" w:eastAsia="Arial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7152EA">
      <w:pPr>
        <w:pStyle w:val="TableParagraph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sectPr w:rsidR="00AF4172" w:rsidRPr="007C7CD3" w:rsidSect="00294CC7">
      <w:headerReference w:type="default" r:id="rId8"/>
      <w:footerReference w:type="default" r:id="rId9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E9" w:rsidRDefault="007A0FE9" w:rsidP="00BE3B72">
      <w:r>
        <w:separator/>
      </w:r>
    </w:p>
  </w:endnote>
  <w:endnote w:type="continuationSeparator" w:id="0">
    <w:p w:rsidR="007A0FE9" w:rsidRDefault="007A0FE9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A: </w:t>
                          </w:r>
                          <w:proofErr w:type="spellStart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Isakiani</w:t>
                          </w:r>
                          <w:proofErr w:type="spellEnd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A: </w:t>
                    </w:r>
                    <w:proofErr w:type="spellStart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Isakiani</w:t>
                    </w:r>
                    <w:proofErr w:type="spellEnd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E9" w:rsidRDefault="007A0FE9" w:rsidP="00BE3B72">
      <w:r>
        <w:separator/>
      </w:r>
    </w:p>
  </w:footnote>
  <w:footnote w:type="continuationSeparator" w:id="0">
    <w:p w:rsidR="007A0FE9" w:rsidRDefault="007A0FE9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9C0194"/>
    <w:multiLevelType w:val="hybridMultilevel"/>
    <w:tmpl w:val="4EC2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95F05"/>
    <w:rsid w:val="00197DDA"/>
    <w:rsid w:val="001B73E3"/>
    <w:rsid w:val="001F4DA8"/>
    <w:rsid w:val="002642F5"/>
    <w:rsid w:val="00294CC7"/>
    <w:rsid w:val="002D0626"/>
    <w:rsid w:val="002D4639"/>
    <w:rsid w:val="003200BC"/>
    <w:rsid w:val="00343736"/>
    <w:rsid w:val="00344790"/>
    <w:rsid w:val="003F4745"/>
    <w:rsid w:val="003F50D1"/>
    <w:rsid w:val="004061C5"/>
    <w:rsid w:val="00466C2E"/>
    <w:rsid w:val="004934DE"/>
    <w:rsid w:val="004E4597"/>
    <w:rsid w:val="00556D9A"/>
    <w:rsid w:val="007152EA"/>
    <w:rsid w:val="00726DAC"/>
    <w:rsid w:val="0075413C"/>
    <w:rsid w:val="007A0FE9"/>
    <w:rsid w:val="007C7CD3"/>
    <w:rsid w:val="008176B7"/>
    <w:rsid w:val="0084565A"/>
    <w:rsid w:val="009172E1"/>
    <w:rsid w:val="009B0938"/>
    <w:rsid w:val="00AF4172"/>
    <w:rsid w:val="00BE3B72"/>
    <w:rsid w:val="00C4440C"/>
    <w:rsid w:val="00C63486"/>
    <w:rsid w:val="00C77537"/>
    <w:rsid w:val="00CC5BDD"/>
    <w:rsid w:val="00CF72BF"/>
    <w:rsid w:val="00D3706C"/>
    <w:rsid w:val="00E45AC2"/>
    <w:rsid w:val="00E46992"/>
    <w:rsid w:val="00EB2E16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37A7A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paragraph" w:styleId="NormalWeb">
    <w:name w:val="Normal (Web)"/>
    <w:basedOn w:val="Normal"/>
    <w:uiPriority w:val="99"/>
    <w:unhideWhenUsed/>
    <w:rsid w:val="00E4699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19CD-4751-476F-88E5-89B279B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Ana Kurashvili (GDL)</cp:lastModifiedBy>
  <cp:revision>7</cp:revision>
  <cp:lastPrinted>2020-03-18T14:17:00Z</cp:lastPrinted>
  <dcterms:created xsi:type="dcterms:W3CDTF">2021-04-12T18:30:00Z</dcterms:created>
  <dcterms:modified xsi:type="dcterms:W3CDTF">2022-04-12T12:32:00Z</dcterms:modified>
</cp:coreProperties>
</file>